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6" w:rsidRPr="00C0735E" w:rsidRDefault="00092F26" w:rsidP="00092F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735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2F26" w:rsidRPr="00C0735E" w:rsidRDefault="00092F26" w:rsidP="00092F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735E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967EBA" w:rsidRPr="00C073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92F26" w:rsidRPr="00C0735E" w:rsidRDefault="00092F26" w:rsidP="00092F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735E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092F26" w:rsidRPr="00C0735E" w:rsidRDefault="00092F26" w:rsidP="00092F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735E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92F26" w:rsidRPr="00C0735E" w:rsidRDefault="00092F26" w:rsidP="00092F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E4DF4" w:rsidRPr="00C0735E" w:rsidRDefault="00092F26" w:rsidP="00092F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735E">
        <w:rPr>
          <w:rFonts w:ascii="Times New Roman" w:hAnsi="Times New Roman" w:cs="Times New Roman"/>
          <w:sz w:val="28"/>
          <w:szCs w:val="28"/>
        </w:rPr>
        <w:t>ПОСТАНОВЛЕНИ</w:t>
      </w:r>
      <w:r w:rsidR="00B42237">
        <w:rPr>
          <w:rFonts w:ascii="Times New Roman" w:hAnsi="Times New Roman" w:cs="Times New Roman"/>
          <w:sz w:val="28"/>
          <w:szCs w:val="28"/>
        </w:rPr>
        <w:t>Е</w:t>
      </w:r>
    </w:p>
    <w:p w:rsidR="00EF49DD" w:rsidRPr="00C0735E" w:rsidRDefault="00EF49DD" w:rsidP="00092F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49DD" w:rsidRPr="00C0735E" w:rsidRDefault="002B1F10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F0C91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C576C9" w:rsidRPr="00C073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5F2" w:rsidRPr="00C0735E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092F26" w:rsidRPr="00C0735E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9625F2" w:rsidRPr="00C0735E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FD5BAD" w:rsidRPr="00C073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66A8" w:rsidRPr="00C0735E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9F66A8" w:rsidRPr="00C073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2ECE" w:rsidRPr="00C073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25F2" w:rsidRPr="00C073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2028" w:rsidRPr="00C0735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D5752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7594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92F26" w:rsidRPr="00C073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F4779" w:rsidRPr="00C073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0735E" w:rsidRPr="00C073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92F26" w:rsidRPr="00C0735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092F26" w:rsidRPr="00C0735E">
        <w:rPr>
          <w:rFonts w:ascii="Times New Roman" w:eastAsia="Times New Roman" w:hAnsi="Times New Roman" w:cs="Times New Roman"/>
          <w:bCs/>
          <w:sz w:val="28"/>
          <w:szCs w:val="28"/>
        </w:rPr>
        <w:t>. Большая Дмитриевка</w:t>
      </w:r>
    </w:p>
    <w:p w:rsidR="00EF49DD" w:rsidRPr="00C0735E" w:rsidRDefault="00EF49DD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DF4" w:rsidRPr="00C0735E" w:rsidRDefault="00DE4DF4" w:rsidP="00C576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5E">
        <w:rPr>
          <w:rFonts w:ascii="Times New Roman" w:hAnsi="Times New Roman" w:cs="Times New Roman"/>
          <w:sz w:val="28"/>
          <w:szCs w:val="28"/>
        </w:rPr>
        <w:t>О</w:t>
      </w:r>
      <w:r w:rsidR="005C7DA0" w:rsidRPr="00C0735E">
        <w:rPr>
          <w:rFonts w:ascii="Times New Roman" w:hAnsi="Times New Roman" w:cs="Times New Roman"/>
          <w:sz w:val="28"/>
          <w:szCs w:val="28"/>
        </w:rPr>
        <w:t>б у</w:t>
      </w:r>
      <w:r w:rsidR="00EF49DD" w:rsidRPr="00C0735E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5C7DA0" w:rsidRPr="00C0735E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1F4846" w:rsidRPr="00C0735E">
        <w:rPr>
          <w:rFonts w:ascii="Times New Roman" w:hAnsi="Times New Roman" w:cs="Times New Roman"/>
          <w:sz w:val="28"/>
          <w:szCs w:val="28"/>
        </w:rPr>
        <w:t>Поставка и установка</w:t>
      </w:r>
      <w:r w:rsidR="009F66A8" w:rsidRPr="00C0735E">
        <w:rPr>
          <w:rFonts w:ascii="Times New Roman" w:hAnsi="Times New Roman" w:cs="Times New Roman"/>
          <w:sz w:val="28"/>
          <w:szCs w:val="28"/>
        </w:rPr>
        <w:t xml:space="preserve"> водонапорной башни </w:t>
      </w:r>
      <w:proofErr w:type="spellStart"/>
      <w:r w:rsidR="00662B65" w:rsidRPr="00C0735E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662B65" w:rsidRPr="00C0735E">
        <w:rPr>
          <w:rFonts w:ascii="Times New Roman" w:hAnsi="Times New Roman" w:cs="Times New Roman"/>
          <w:sz w:val="28"/>
          <w:szCs w:val="28"/>
        </w:rPr>
        <w:t xml:space="preserve"> </w:t>
      </w:r>
      <w:r w:rsidR="00712F11" w:rsidRPr="00C0735E">
        <w:rPr>
          <w:rFonts w:ascii="Times New Roman" w:hAnsi="Times New Roman" w:cs="Times New Roman"/>
          <w:sz w:val="28"/>
          <w:szCs w:val="28"/>
        </w:rPr>
        <w:t xml:space="preserve">по ул. Центральная </w:t>
      </w:r>
      <w:r w:rsidR="000118BD">
        <w:rPr>
          <w:rFonts w:ascii="Times New Roman" w:hAnsi="Times New Roman" w:cs="Times New Roman"/>
          <w:sz w:val="28"/>
          <w:szCs w:val="28"/>
        </w:rPr>
        <w:t>в с. Двоенка Лысогорского район</w:t>
      </w:r>
      <w:r w:rsidR="009F66A8" w:rsidRPr="00C0735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0E6288" w:rsidRPr="00C0735E">
        <w:rPr>
          <w:rFonts w:ascii="Times New Roman" w:hAnsi="Times New Roman" w:cs="Times New Roman"/>
          <w:sz w:val="28"/>
          <w:szCs w:val="28"/>
        </w:rPr>
        <w:t>»</w:t>
      </w:r>
    </w:p>
    <w:p w:rsidR="00DE4DF4" w:rsidRPr="00C0735E" w:rsidRDefault="00DE4DF4" w:rsidP="00F039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A53FD" w:rsidRPr="00C0735E" w:rsidRDefault="005A53FD" w:rsidP="005A5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В соответствии с Федеральным законом от 6 октября 2003 года № 131-ФЗ «Об общих принципах организации местного самоуправления в Российской Федерации», руководствуясь Уставом Большедмитриевского сельского поселения Лысогорского муниципального района Саратовской области, администрация Большедмитриевского сельского поселения </w:t>
      </w:r>
      <w:r w:rsidR="00C0735E" w:rsidRPr="00C073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Саратовской области </w:t>
      </w:r>
      <w:r w:rsidRPr="00C0735E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5A53FD" w:rsidRPr="00C0735E" w:rsidRDefault="005A53FD" w:rsidP="005A53FD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 Утвердить муниципальную программу «</w:t>
      </w:r>
      <w:r w:rsidRPr="00C0735E">
        <w:rPr>
          <w:rFonts w:ascii="Times New Roman" w:hAnsi="Times New Roman" w:cs="Times New Roman"/>
          <w:sz w:val="28"/>
          <w:szCs w:val="28"/>
        </w:rPr>
        <w:t xml:space="preserve">Поставка и установка водонапорной башни </w:t>
      </w:r>
      <w:proofErr w:type="spellStart"/>
      <w:r w:rsidRPr="00C0735E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C0735E">
        <w:rPr>
          <w:rFonts w:ascii="Times New Roman" w:hAnsi="Times New Roman" w:cs="Times New Roman"/>
          <w:sz w:val="28"/>
          <w:szCs w:val="28"/>
        </w:rPr>
        <w:t xml:space="preserve"> по ул. Центральная </w:t>
      </w:r>
      <w:proofErr w:type="gramStart"/>
      <w:r w:rsidRPr="00C073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35E">
        <w:rPr>
          <w:rFonts w:ascii="Times New Roman" w:hAnsi="Times New Roman" w:cs="Times New Roman"/>
          <w:sz w:val="28"/>
          <w:szCs w:val="28"/>
        </w:rPr>
        <w:t xml:space="preserve"> с. Двоенка Лысогорского </w:t>
      </w:r>
      <w:proofErr w:type="gramStart"/>
      <w:r w:rsidRPr="00C0735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C0735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C073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0735E">
        <w:rPr>
          <w:rFonts w:ascii="Times New Roman" w:eastAsia="Times New Roman" w:hAnsi="Times New Roman" w:cs="Times New Roman"/>
          <w:sz w:val="28"/>
          <w:szCs w:val="28"/>
        </w:rPr>
        <w:t>, согласно приложению к постановлению.</w:t>
      </w:r>
    </w:p>
    <w:p w:rsidR="005A53FD" w:rsidRPr="00C0735E" w:rsidRDefault="005A53FD" w:rsidP="005A53FD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 10 марта 2025 года.</w:t>
      </w:r>
    </w:p>
    <w:p w:rsidR="005A53FD" w:rsidRPr="00C0735E" w:rsidRDefault="005A53FD" w:rsidP="005A53F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администрации Большедмитриевского сельского поселения Лысогорского муниципального района Саратовской области в информационно-телекоммуникационной сети «Интернет».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3FD" w:rsidRPr="00C0735E" w:rsidRDefault="005A53FD" w:rsidP="005A53FD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73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 оставляю за собой.</w:t>
      </w:r>
    </w:p>
    <w:p w:rsidR="00F039E3" w:rsidRPr="00C0735E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C0735E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941" w:rsidRPr="00C0735E" w:rsidRDefault="00646941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779" w:rsidRPr="00C0735E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F4779" w:rsidRPr="00C0735E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0A138F" w:rsidRPr="00C0735E" w:rsidRDefault="005C7DA0" w:rsidP="000E6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9E3" w:rsidRPr="00C0735E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BA61EE" w:rsidRPr="00C073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62B65" w:rsidRPr="00C0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779" w:rsidRPr="00C0735E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C0735E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C0735E">
        <w:rPr>
          <w:rFonts w:ascii="Times New Roman" w:eastAsia="Times New Roman" w:hAnsi="Times New Roman" w:cs="Times New Roman"/>
          <w:sz w:val="28"/>
          <w:szCs w:val="28"/>
        </w:rPr>
        <w:tab/>
      </w:r>
      <w:r w:rsidR="00662B65" w:rsidRPr="00C0735E">
        <w:rPr>
          <w:rFonts w:ascii="Times New Roman" w:eastAsia="Times New Roman" w:hAnsi="Times New Roman" w:cs="Times New Roman"/>
          <w:sz w:val="28"/>
          <w:szCs w:val="28"/>
        </w:rPr>
        <w:tab/>
      </w:r>
      <w:r w:rsidR="00662B65" w:rsidRPr="00C0735E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C0735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073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79" w:rsidRPr="00C073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73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4779" w:rsidRPr="00C0735E"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</w:p>
    <w:p w:rsidR="000E6288" w:rsidRPr="00C0735E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3FD" w:rsidRPr="00C0735E" w:rsidRDefault="005A53FD" w:rsidP="00C0045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0593" w:rsidRPr="00C0735E" w:rsidRDefault="009D0593" w:rsidP="00707D6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07D62" w:rsidRPr="00C0735E" w:rsidRDefault="00372E1E" w:rsidP="00FE422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Приложение</w:t>
      </w:r>
      <w:r w:rsidR="00707D62" w:rsidRPr="00C0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2E1E" w:rsidRPr="00C0735E" w:rsidRDefault="00372E1E" w:rsidP="00FE422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Cs/>
          <w:iCs/>
          <w:sz w:val="24"/>
          <w:szCs w:val="24"/>
        </w:rPr>
        <w:t>к постановлению администрации</w:t>
      </w:r>
      <w:r w:rsidR="00707D62" w:rsidRPr="00C0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3FD" w:rsidRPr="00C0735E">
        <w:rPr>
          <w:rFonts w:ascii="Times New Roman" w:eastAsia="Times New Roman" w:hAnsi="Times New Roman" w:cs="Times New Roman"/>
          <w:sz w:val="24"/>
          <w:szCs w:val="24"/>
        </w:rPr>
        <w:t xml:space="preserve">Большедмитриевского </w:t>
      </w:r>
      <w:r w:rsidR="00707D62" w:rsidRPr="00C073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сельского </w:t>
      </w:r>
      <w:r w:rsidRPr="00C0735E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поселения</w:t>
      </w:r>
    </w:p>
    <w:p w:rsidR="00372E1E" w:rsidRPr="00D57528" w:rsidRDefault="00372E1E" w:rsidP="00FE422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Cs/>
          <w:iCs/>
          <w:sz w:val="24"/>
          <w:szCs w:val="24"/>
        </w:rPr>
        <w:t>Лысогорского муниципального района</w:t>
      </w:r>
      <w:r w:rsidR="005A53FD" w:rsidRPr="00C073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Саратовской области</w:t>
      </w:r>
      <w:r w:rsidRPr="00C0735E">
        <w:rPr>
          <w:rFonts w:ascii="Times New Roman" w:eastAsia="Times New Roman" w:hAnsi="Times New Roman" w:cs="Times New Roman"/>
          <w:sz w:val="24"/>
          <w:szCs w:val="24"/>
        </w:rPr>
        <w:br/>
      </w:r>
      <w:r w:rsidR="00FE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</w:t>
      </w:r>
      <w:r w:rsidR="00DF0C91"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 w:rsidR="00FE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марта 2025 года № </w:t>
      </w:r>
      <w:r w:rsidR="00D57528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D57528" w:rsidRPr="00D57528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</w:p>
    <w:p w:rsidR="00372E1E" w:rsidRPr="00C0735E" w:rsidRDefault="00372E1E" w:rsidP="00707D62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073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3FD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программа</w:t>
      </w:r>
      <w:r w:rsidR="005A53FD" w:rsidRPr="00C073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5A53FD" w:rsidRPr="00C0735E">
        <w:rPr>
          <w:rFonts w:ascii="Times New Roman" w:hAnsi="Times New Roman" w:cs="Times New Roman"/>
          <w:sz w:val="26"/>
          <w:szCs w:val="26"/>
        </w:rPr>
        <w:t xml:space="preserve">Поставка и установка водонапорной башни </w:t>
      </w:r>
      <w:proofErr w:type="spellStart"/>
      <w:r w:rsidR="005A53FD" w:rsidRPr="00C0735E">
        <w:rPr>
          <w:rFonts w:ascii="Times New Roman" w:hAnsi="Times New Roman" w:cs="Times New Roman"/>
          <w:sz w:val="26"/>
          <w:szCs w:val="26"/>
        </w:rPr>
        <w:t>Рожновского</w:t>
      </w:r>
      <w:proofErr w:type="spellEnd"/>
      <w:r w:rsidR="005A53FD" w:rsidRPr="00C0735E">
        <w:rPr>
          <w:rFonts w:ascii="Times New Roman" w:hAnsi="Times New Roman" w:cs="Times New Roman"/>
          <w:sz w:val="26"/>
          <w:szCs w:val="26"/>
        </w:rPr>
        <w:t xml:space="preserve"> по ул. Центральная </w:t>
      </w:r>
      <w:proofErr w:type="gramStart"/>
      <w:r w:rsidR="005A53FD" w:rsidRPr="00C073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A53FD" w:rsidRPr="00C0735E">
        <w:rPr>
          <w:rFonts w:ascii="Times New Roman" w:hAnsi="Times New Roman" w:cs="Times New Roman"/>
          <w:sz w:val="26"/>
          <w:szCs w:val="26"/>
        </w:rPr>
        <w:t xml:space="preserve"> с. Двоенка Лысогорского </w:t>
      </w:r>
      <w:proofErr w:type="gramStart"/>
      <w:r w:rsidR="005A53FD" w:rsidRPr="00C0735E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="005A53FD" w:rsidRPr="00C0735E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Pr="00C0735E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372E1E" w:rsidRPr="00C0735E" w:rsidRDefault="00372E1E" w:rsidP="00372E1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72E1E" w:rsidRPr="00C0735E" w:rsidRDefault="00FE4223" w:rsidP="000C6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A53FD" w:rsidRPr="00C0735E">
        <w:rPr>
          <w:rFonts w:ascii="Times New Roman" w:hAnsi="Times New Roman" w:cs="Times New Roman"/>
          <w:sz w:val="26"/>
          <w:szCs w:val="26"/>
        </w:rPr>
        <w:t xml:space="preserve">Поставка и установка водонапорной башни </w:t>
      </w:r>
      <w:proofErr w:type="spellStart"/>
      <w:r w:rsidR="005A53FD" w:rsidRPr="00C0735E">
        <w:rPr>
          <w:rFonts w:ascii="Times New Roman" w:hAnsi="Times New Roman" w:cs="Times New Roman"/>
          <w:sz w:val="26"/>
          <w:szCs w:val="26"/>
        </w:rPr>
        <w:t>Рожновского</w:t>
      </w:r>
      <w:proofErr w:type="spellEnd"/>
      <w:r w:rsidR="005A53FD" w:rsidRPr="00C0735E">
        <w:rPr>
          <w:rFonts w:ascii="Times New Roman" w:hAnsi="Times New Roman" w:cs="Times New Roman"/>
          <w:sz w:val="26"/>
          <w:szCs w:val="26"/>
        </w:rPr>
        <w:t xml:space="preserve"> по ул. Центральная в с. Двоенка Лысогорского района Саратовской области</w:t>
      </w:r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(далее программа) разработана в соответствии Федеральным законом</w:t>
      </w:r>
      <w:r w:rsidR="005A53FD" w:rsidRPr="00C07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«Об общих принципах организации местного самоуправления в Российской Фед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ерации» от 06.10.2003 № 131-ФЗ, Уставом </w:t>
      </w:r>
      <w:r w:rsidR="005A53FD" w:rsidRPr="00C0735E">
        <w:rPr>
          <w:rFonts w:ascii="Times New Roman" w:eastAsia="Times New Roman" w:hAnsi="Times New Roman" w:cs="Times New Roman"/>
          <w:sz w:val="26"/>
          <w:szCs w:val="26"/>
        </w:rPr>
        <w:t>Большедм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итриевского сельского поселения </w:t>
      </w:r>
      <w:r w:rsidR="005A53FD" w:rsidRPr="00C0735E">
        <w:rPr>
          <w:rFonts w:ascii="Times New Roman" w:eastAsia="Times New Roman" w:hAnsi="Times New Roman" w:cs="Times New Roman"/>
          <w:sz w:val="26"/>
          <w:szCs w:val="26"/>
        </w:rPr>
        <w:t xml:space="preserve">Лысогорского муниципального района Саратовской области, </w:t>
      </w:r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предусма</w:t>
      </w:r>
      <w:r w:rsidR="005A53FD" w:rsidRPr="00C0735E">
        <w:rPr>
          <w:rFonts w:ascii="Times New Roman" w:eastAsia="Times New Roman" w:hAnsi="Times New Roman" w:cs="Times New Roman"/>
          <w:sz w:val="26"/>
          <w:szCs w:val="26"/>
        </w:rPr>
        <w:t>тривает улучшение водоснабжения населения с. Двоенка Большедмитриевского муниципального образования</w:t>
      </w:r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,</w:t>
      </w:r>
      <w:r w:rsidR="005A53FD" w:rsidRPr="00C07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привлечение средств внебюджетных источников для</w:t>
      </w:r>
      <w:proofErr w:type="gramEnd"/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 xml:space="preserve"> модернизации объектов водоснабжения. Программа направлена на обеспечение бесперебойной, надежной и эффективной работы всех элементов системы водоснабжения, качественного предоставления услуг по водоснабжению, модернизацию объектов </w:t>
      </w:r>
      <w:proofErr w:type="spellStart"/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>водообеспечения</w:t>
      </w:r>
      <w:proofErr w:type="spellEnd"/>
      <w:r w:rsidR="00372E1E" w:rsidRPr="00C0735E">
        <w:rPr>
          <w:rFonts w:ascii="Times New Roman" w:eastAsia="Times New Roman" w:hAnsi="Times New Roman" w:cs="Times New Roman"/>
          <w:sz w:val="26"/>
          <w:szCs w:val="26"/>
        </w:rPr>
        <w:t xml:space="preserve"> путем </w:t>
      </w:r>
      <w:r w:rsidR="005A53FD" w:rsidRPr="00C0735E">
        <w:rPr>
          <w:rFonts w:ascii="Times New Roman" w:hAnsi="Times New Roman" w:cs="Times New Roman"/>
          <w:sz w:val="26"/>
          <w:szCs w:val="26"/>
        </w:rPr>
        <w:t xml:space="preserve">поставки и установки водонапорной башни </w:t>
      </w:r>
      <w:proofErr w:type="spellStart"/>
      <w:r w:rsidR="005A53FD" w:rsidRPr="00C0735E">
        <w:rPr>
          <w:rFonts w:ascii="Times New Roman" w:hAnsi="Times New Roman" w:cs="Times New Roman"/>
          <w:sz w:val="26"/>
          <w:szCs w:val="26"/>
        </w:rPr>
        <w:t>Рожновского</w:t>
      </w:r>
      <w:proofErr w:type="spellEnd"/>
      <w:r w:rsidR="005A53FD" w:rsidRPr="00C0735E">
        <w:rPr>
          <w:rFonts w:ascii="Times New Roman" w:hAnsi="Times New Roman" w:cs="Times New Roman"/>
          <w:sz w:val="26"/>
          <w:szCs w:val="26"/>
        </w:rPr>
        <w:t xml:space="preserve"> по ул. Центральная </w:t>
      </w:r>
      <w:r>
        <w:rPr>
          <w:rFonts w:ascii="Times New Roman" w:hAnsi="Times New Roman" w:cs="Times New Roman"/>
          <w:sz w:val="26"/>
          <w:szCs w:val="26"/>
        </w:rPr>
        <w:t>в с. Двоенка Лысогорского район</w:t>
      </w:r>
      <w:r w:rsidR="005A53FD" w:rsidRPr="00C0735E">
        <w:rPr>
          <w:rFonts w:ascii="Times New Roman" w:hAnsi="Times New Roman" w:cs="Times New Roman"/>
          <w:sz w:val="26"/>
          <w:szCs w:val="26"/>
        </w:rPr>
        <w:t xml:space="preserve"> Саратовской области.</w:t>
      </w:r>
    </w:p>
    <w:p w:rsidR="005A53FD" w:rsidRPr="00C0735E" w:rsidRDefault="005A53FD" w:rsidP="000C695A">
      <w:pPr>
        <w:pStyle w:val="a6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C0735E">
        <w:rPr>
          <w:rFonts w:ascii="Times New Roman" w:eastAsia="Arial Unicode MS" w:hAnsi="Times New Roman" w:cs="Times New Roman"/>
          <w:sz w:val="26"/>
          <w:szCs w:val="26"/>
        </w:rPr>
        <w:t>Инициативное</w:t>
      </w:r>
      <w:proofErr w:type="gram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C0735E">
        <w:rPr>
          <w:rFonts w:ascii="Times New Roman" w:eastAsia="Arial Unicode MS" w:hAnsi="Times New Roman" w:cs="Times New Roman"/>
          <w:sz w:val="26"/>
          <w:szCs w:val="26"/>
        </w:rPr>
        <w:t>бюджетирование</w:t>
      </w:r>
      <w:proofErr w:type="spell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 создает возможности для более эффективного управления местным бюджетом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C0735E">
        <w:rPr>
          <w:rFonts w:ascii="Times New Roman" w:eastAsia="Arial Unicode MS" w:hAnsi="Times New Roman" w:cs="Times New Roman"/>
          <w:sz w:val="26"/>
          <w:szCs w:val="26"/>
        </w:rPr>
        <w:t>дств дл</w:t>
      </w:r>
      <w:proofErr w:type="gram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я решения проблем местного значения. </w:t>
      </w:r>
      <w:proofErr w:type="spellStart"/>
      <w:r w:rsidRPr="00C0735E">
        <w:rPr>
          <w:rFonts w:ascii="Times New Roman" w:eastAsia="Arial Unicode MS" w:hAnsi="Times New Roman" w:cs="Times New Roman"/>
          <w:sz w:val="26"/>
          <w:szCs w:val="26"/>
        </w:rPr>
        <w:t>Софинансирование</w:t>
      </w:r>
      <w:proofErr w:type="spell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 проектов инициативного </w:t>
      </w:r>
      <w:proofErr w:type="spellStart"/>
      <w:r w:rsidRPr="00C0735E">
        <w:rPr>
          <w:rFonts w:ascii="Times New Roman" w:eastAsia="Arial Unicode MS" w:hAnsi="Times New Roman" w:cs="Times New Roman"/>
          <w:sz w:val="26"/>
          <w:szCs w:val="26"/>
        </w:rPr>
        <w:t>бюджетирования</w:t>
      </w:r>
      <w:proofErr w:type="spell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 гражданами – следующий шаг в привлечении сре</w:t>
      </w:r>
      <w:proofErr w:type="gramStart"/>
      <w:r w:rsidRPr="00C0735E">
        <w:rPr>
          <w:rFonts w:ascii="Times New Roman" w:eastAsia="Arial Unicode MS" w:hAnsi="Times New Roman" w:cs="Times New Roman"/>
          <w:sz w:val="26"/>
          <w:szCs w:val="26"/>
        </w:rPr>
        <w:t>дств гр</w:t>
      </w:r>
      <w:proofErr w:type="gram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аждан на решение вопросов местного значения. </w:t>
      </w:r>
    </w:p>
    <w:p w:rsidR="005A53FD" w:rsidRPr="00C0735E" w:rsidRDefault="005A53FD" w:rsidP="000C695A">
      <w:pPr>
        <w:pStyle w:val="a6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Реализация основных мероприятий </w:t>
      </w:r>
      <w:r w:rsidRPr="00C0735E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дает возможность привлечь население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</w:t>
      </w:r>
      <w:r w:rsidRPr="00C0735E">
        <w:rPr>
          <w:rFonts w:ascii="Times New Roman" w:hAnsi="Times New Roman" w:cs="Times New Roman"/>
          <w:sz w:val="26"/>
          <w:szCs w:val="26"/>
        </w:rPr>
        <w:t>Программы</w:t>
      </w:r>
      <w:r w:rsidRPr="00C0735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E4223" w:rsidRDefault="005A53FD" w:rsidP="000C695A">
      <w:pPr>
        <w:pStyle w:val="a6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Водоснабжение является важной задачей для жизнеобеспечения муниципального образования. Наибольшие проблемы в обеспечении качественной питьевой водой на территории Большедмитриевского </w:t>
      </w:r>
      <w:r w:rsidRPr="00C0735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испытывают жители с. Двоенка. Водонапорная башня </w:t>
      </w:r>
      <w:proofErr w:type="gramStart"/>
      <w:r w:rsidRPr="00C0735E">
        <w:rPr>
          <w:rFonts w:ascii="Times New Roman" w:eastAsia="Arial Unicode MS" w:hAnsi="Times New Roman" w:cs="Times New Roman"/>
          <w:sz w:val="26"/>
          <w:szCs w:val="26"/>
        </w:rPr>
        <w:t>в</w:t>
      </w:r>
      <w:proofErr w:type="gram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 с. Двоенка </w:t>
      </w:r>
      <w:proofErr w:type="gramStart"/>
      <w:r w:rsidRPr="00C0735E">
        <w:rPr>
          <w:rFonts w:ascii="Times New Roman" w:eastAsia="Arial Unicode MS" w:hAnsi="Times New Roman" w:cs="Times New Roman"/>
          <w:sz w:val="26"/>
          <w:szCs w:val="26"/>
        </w:rPr>
        <w:t>была</w:t>
      </w:r>
      <w:proofErr w:type="gram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 введена в эксплуатацию в 1970-1980 годах. За такой длительный период эксплуатации и в связи с возникающими многочисленными порывами накопительная емкость пришла в негодность. Сталь, из которой изготовлена </w:t>
      </w:r>
      <w:proofErr w:type="gramStart"/>
      <w:r w:rsidRPr="00C0735E">
        <w:rPr>
          <w:rFonts w:ascii="Times New Roman" w:eastAsia="Arial Unicode MS" w:hAnsi="Times New Roman" w:cs="Times New Roman"/>
          <w:sz w:val="26"/>
          <w:szCs w:val="26"/>
        </w:rPr>
        <w:t>емкость</w:t>
      </w:r>
      <w:proofErr w:type="gramEnd"/>
      <w:r w:rsidRPr="00C0735E">
        <w:rPr>
          <w:rFonts w:ascii="Times New Roman" w:eastAsia="Arial Unicode MS" w:hAnsi="Times New Roman" w:cs="Times New Roman"/>
          <w:sz w:val="26"/>
          <w:szCs w:val="26"/>
        </w:rPr>
        <w:t xml:space="preserve"> поражена коррозией как с наружи, так и внутри, а также многочисленными «свищами», что не дает возможности качественно производить сварочные работы, возникает необходимость на</w:t>
      </w:r>
      <w:r w:rsidR="00FE4223">
        <w:rPr>
          <w:rFonts w:ascii="Times New Roman" w:eastAsia="Arial Unicode MS" w:hAnsi="Times New Roman" w:cs="Times New Roman"/>
          <w:sz w:val="26"/>
          <w:szCs w:val="26"/>
        </w:rPr>
        <w:t>ложения новых «латок».</w:t>
      </w:r>
    </w:p>
    <w:p w:rsidR="005A53FD" w:rsidRPr="00C0735E" w:rsidRDefault="005A53FD" w:rsidP="00FE422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eastAsia="Arial Unicode MS" w:hAnsi="Times New Roman" w:cs="Times New Roman"/>
          <w:sz w:val="26"/>
          <w:szCs w:val="26"/>
        </w:rPr>
        <w:lastRenderedPageBreak/>
        <w:t>Фактический износ водонапорной башни составляет более 65 %, что вызывает высокую аварийность, низкий коэффициент полезного действия мощностей и большие потери энергоносителей. На сегодняшний день потери воды составляют более 20%. Ликвидация аварий требует дополнительных финансовых затрат и ухудшает качество подаваемой потребителю воды.</w:t>
      </w:r>
    </w:p>
    <w:p w:rsidR="005A53FD" w:rsidRPr="00C0735E" w:rsidRDefault="005A53FD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eastAsia="Arial Unicode MS" w:hAnsi="Times New Roman" w:cs="Times New Roman"/>
          <w:sz w:val="26"/>
          <w:szCs w:val="26"/>
        </w:rPr>
        <w:t>Анализ состояния систем водоснабжения в населенных пунктах  муниципального образования подтверждает необходимость системного</w:t>
      </w:r>
      <w:r w:rsidRPr="00C0735E">
        <w:rPr>
          <w:rFonts w:ascii="Times New Roman" w:hAnsi="Times New Roman" w:cs="Times New Roman"/>
          <w:sz w:val="26"/>
          <w:szCs w:val="26"/>
        </w:rPr>
        <w:t xml:space="preserve"> программного подхода к обеспечению полноценного и безопасного питьевого водоснабжения населения.</w:t>
      </w:r>
    </w:p>
    <w:p w:rsidR="000C695A" w:rsidRPr="00C0735E" w:rsidRDefault="00FE4223" w:rsidP="000C6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Целью Программы является </w:t>
      </w:r>
      <w:r w:rsidR="000C695A" w:rsidRPr="00C0735E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условий, обеспечивающих наиболее полное удовлетворение сбалансированной потребности населения </w:t>
      </w:r>
      <w:r w:rsidR="000C695A" w:rsidRPr="00C0735E">
        <w:rPr>
          <w:rFonts w:ascii="Times New Roman" w:hAnsi="Times New Roman" w:cs="Times New Roman"/>
          <w:sz w:val="26"/>
          <w:szCs w:val="26"/>
        </w:rPr>
        <w:t xml:space="preserve">Большедмитриевского </w:t>
      </w:r>
      <w:r w:rsidR="000C695A" w:rsidRPr="00C0735E">
        <w:rPr>
          <w:rFonts w:ascii="Times New Roman" w:eastAsia="Times New Roman" w:hAnsi="Times New Roman" w:cs="Times New Roman"/>
          <w:sz w:val="26"/>
          <w:szCs w:val="26"/>
        </w:rPr>
        <w:t>сельского поселения  в чистой вод</w:t>
      </w:r>
      <w:r w:rsidR="009D0593" w:rsidRPr="00C0735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C695A" w:rsidRPr="00C073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695A" w:rsidRPr="00C0735E" w:rsidRDefault="000C695A" w:rsidP="000C6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предусматривается решить задачи</w:t>
      </w:r>
      <w:r w:rsidR="00A47CCE" w:rsidRPr="00C0735E">
        <w:rPr>
          <w:rFonts w:ascii="Times New Roman" w:eastAsia="Times New Roman" w:hAnsi="Times New Roman" w:cs="Times New Roman"/>
          <w:sz w:val="26"/>
          <w:szCs w:val="26"/>
        </w:rPr>
        <w:t xml:space="preserve"> связанные с выполнением комплекса процессных мероприятий  по приобретению и установке</w:t>
      </w:r>
      <w:r w:rsidRPr="00C0735E">
        <w:rPr>
          <w:rFonts w:ascii="Times New Roman" w:eastAsia="Times New Roman" w:hAnsi="Times New Roman" w:cs="Times New Roman"/>
          <w:sz w:val="26"/>
          <w:szCs w:val="26"/>
        </w:rPr>
        <w:t xml:space="preserve"> водонапорной башни </w:t>
      </w:r>
      <w:proofErr w:type="spellStart"/>
      <w:r w:rsidRPr="00C0735E">
        <w:rPr>
          <w:rFonts w:ascii="Times New Roman" w:eastAsia="Times New Roman" w:hAnsi="Times New Roman" w:cs="Times New Roman"/>
          <w:sz w:val="26"/>
          <w:szCs w:val="26"/>
        </w:rPr>
        <w:t>Рожновского</w:t>
      </w:r>
      <w:proofErr w:type="spellEnd"/>
      <w:r w:rsidRPr="00C07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35E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gramStart"/>
      <w:r w:rsidRPr="00C0735E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Pr="00C0735E">
        <w:rPr>
          <w:rFonts w:ascii="Times New Roman" w:hAnsi="Times New Roman" w:cs="Times New Roman"/>
          <w:sz w:val="26"/>
          <w:szCs w:val="26"/>
        </w:rPr>
        <w:t xml:space="preserve"> в с. Двоенка Лысогорского района Саратовской области</w:t>
      </w:r>
      <w:r w:rsidRPr="00C073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695A" w:rsidRPr="00C0735E" w:rsidRDefault="000C695A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hAnsi="Times New Roman" w:cs="Times New Roman"/>
          <w:sz w:val="26"/>
          <w:szCs w:val="26"/>
        </w:rPr>
        <w:t xml:space="preserve">Финансирование Программы осуществляется за счет средств бюджета Большедмитриевского сельского поселения Лысогорского муниципального района Саратовской области. Общий объем финансирования Программы на весь период 2025 года составляет 1 586 009 </w:t>
      </w:r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>рублей 89 коп</w:t>
      </w:r>
      <w:r w:rsidR="00FE4223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C0735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0C695A" w:rsidRPr="00C0735E" w:rsidRDefault="000C695A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hAnsi="Times New Roman" w:cs="Times New Roman"/>
          <w:sz w:val="26"/>
          <w:szCs w:val="26"/>
        </w:rPr>
        <w:t xml:space="preserve">- 158 600 </w:t>
      </w:r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>рублей 99 коп</w:t>
      </w:r>
      <w:proofErr w:type="gramStart"/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0735E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C0735E">
        <w:rPr>
          <w:rFonts w:ascii="Times New Roman" w:hAnsi="Times New Roman" w:cs="Times New Roman"/>
          <w:sz w:val="26"/>
          <w:szCs w:val="26"/>
        </w:rPr>
        <w:t>юджет Большедмитриевского сельского поселения Лысогорского муниципального района Саратовской области  (10% от суммы запрашиваемой субсидии);</w:t>
      </w:r>
    </w:p>
    <w:p w:rsidR="000C695A" w:rsidRPr="00C0735E" w:rsidRDefault="000C695A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hAnsi="Times New Roman" w:cs="Times New Roman"/>
          <w:sz w:val="26"/>
          <w:szCs w:val="26"/>
        </w:rPr>
        <w:t>- 1 221 227 рублей 61</w:t>
      </w:r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коп</w:t>
      </w:r>
      <w:proofErr w:type="gramStart"/>
      <w:r w:rsidRPr="00C0735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07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073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0735E">
        <w:rPr>
          <w:rFonts w:ascii="Times New Roman" w:hAnsi="Times New Roman" w:cs="Times New Roman"/>
          <w:sz w:val="26"/>
          <w:szCs w:val="26"/>
        </w:rPr>
        <w:t>офинансирование</w:t>
      </w:r>
      <w:proofErr w:type="spellEnd"/>
      <w:r w:rsidRPr="00C0735E">
        <w:rPr>
          <w:rFonts w:ascii="Times New Roman" w:hAnsi="Times New Roman" w:cs="Times New Roman"/>
          <w:sz w:val="26"/>
          <w:szCs w:val="26"/>
        </w:rPr>
        <w:t xml:space="preserve"> из бюджета Саратовской области;</w:t>
      </w:r>
    </w:p>
    <w:p w:rsidR="000C695A" w:rsidRPr="00C0735E" w:rsidRDefault="000C695A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hAnsi="Times New Roman" w:cs="Times New Roman"/>
          <w:sz w:val="26"/>
          <w:szCs w:val="26"/>
        </w:rPr>
        <w:t>- 47 580 рублей 30</w:t>
      </w:r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коп</w:t>
      </w:r>
      <w:proofErr w:type="gramStart"/>
      <w:r w:rsidRPr="00C0735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07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073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0735E">
        <w:rPr>
          <w:rFonts w:ascii="Times New Roman" w:hAnsi="Times New Roman" w:cs="Times New Roman"/>
          <w:sz w:val="26"/>
          <w:szCs w:val="26"/>
        </w:rPr>
        <w:t>офинансирование</w:t>
      </w:r>
      <w:proofErr w:type="spellEnd"/>
      <w:r w:rsidRPr="00C0735E">
        <w:rPr>
          <w:rFonts w:ascii="Times New Roman" w:hAnsi="Times New Roman" w:cs="Times New Roman"/>
          <w:sz w:val="26"/>
          <w:szCs w:val="26"/>
        </w:rPr>
        <w:t xml:space="preserve"> со стороны жителей (3% от суммы запрашиваемой субсидии);</w:t>
      </w:r>
    </w:p>
    <w:p w:rsidR="000C695A" w:rsidRPr="00C0735E" w:rsidRDefault="000C695A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hAnsi="Times New Roman" w:cs="Times New Roman"/>
          <w:sz w:val="26"/>
          <w:szCs w:val="26"/>
        </w:rPr>
        <w:t xml:space="preserve">- 158 600 </w:t>
      </w:r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>рублей 99 коп</w:t>
      </w:r>
      <w:proofErr w:type="gramStart"/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C073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073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0735E">
        <w:rPr>
          <w:rFonts w:ascii="Times New Roman" w:hAnsi="Times New Roman" w:cs="Times New Roman"/>
          <w:sz w:val="26"/>
          <w:szCs w:val="26"/>
        </w:rPr>
        <w:t xml:space="preserve">небюджетные средства, в том числе </w:t>
      </w:r>
      <w:proofErr w:type="spellStart"/>
      <w:r w:rsidRPr="00C0735E">
        <w:rPr>
          <w:rFonts w:ascii="Times New Roman" w:hAnsi="Times New Roman" w:cs="Times New Roman"/>
          <w:sz w:val="26"/>
          <w:szCs w:val="26"/>
        </w:rPr>
        <w:t>неденежные</w:t>
      </w:r>
      <w:proofErr w:type="spellEnd"/>
      <w:r w:rsidRPr="00C0735E">
        <w:rPr>
          <w:rFonts w:ascii="Times New Roman" w:hAnsi="Times New Roman" w:cs="Times New Roman"/>
          <w:sz w:val="26"/>
          <w:szCs w:val="26"/>
        </w:rPr>
        <w:t xml:space="preserve"> вклады </w:t>
      </w:r>
      <w:proofErr w:type="spellStart"/>
      <w:r w:rsidRPr="00C0735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0735E">
        <w:rPr>
          <w:rFonts w:ascii="Times New Roman" w:hAnsi="Times New Roman" w:cs="Times New Roman"/>
          <w:sz w:val="26"/>
          <w:szCs w:val="26"/>
        </w:rPr>
        <w:t xml:space="preserve"> проекта со стороны спонсоров (денежные средства со стороны юридических лиц, индивидуальных предпринимателей, 10% от суммы запрашиваемой субсидии).</w:t>
      </w:r>
    </w:p>
    <w:p w:rsidR="000C695A" w:rsidRPr="00C0735E" w:rsidRDefault="000C695A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hAnsi="Times New Roman" w:cs="Times New Roman"/>
          <w:sz w:val="26"/>
          <w:szCs w:val="26"/>
        </w:rPr>
        <w:t>Настоящая Программа включает в себя комплекс мероприятий, повышающих надежность функционирования систем водоснабжения и   обеспечивающих безопасное обеспечение питьевой водой населения с. Двоенка Лысогорского района.</w:t>
      </w:r>
    </w:p>
    <w:p w:rsidR="000C695A" w:rsidRPr="00C0735E" w:rsidRDefault="000C695A" w:rsidP="000C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35E">
        <w:rPr>
          <w:rFonts w:ascii="Times New Roman" w:hAnsi="Times New Roman" w:cs="Times New Roman"/>
          <w:sz w:val="26"/>
          <w:szCs w:val="26"/>
        </w:rPr>
        <w:t>Программа предусматривает решение задачи ликвидации сверхнормативного износа основных фондов, внедрение р</w:t>
      </w:r>
      <w:r w:rsidR="00FE4223">
        <w:rPr>
          <w:rFonts w:ascii="Times New Roman" w:hAnsi="Times New Roman" w:cs="Times New Roman"/>
          <w:sz w:val="26"/>
          <w:szCs w:val="26"/>
        </w:rPr>
        <w:t xml:space="preserve">есурсосберегающих технологий, </w:t>
      </w:r>
      <w:r w:rsidRPr="00C0735E">
        <w:rPr>
          <w:rFonts w:ascii="Times New Roman" w:hAnsi="Times New Roman" w:cs="Times New Roman"/>
          <w:sz w:val="26"/>
          <w:szCs w:val="26"/>
        </w:rPr>
        <w:t xml:space="preserve">в результате чего повысятся качество предоставляемых услуг населению по водоснабжению, эффективность и надежность работы систем водоснабжения. </w:t>
      </w:r>
    </w:p>
    <w:p w:rsidR="000C695A" w:rsidRPr="00C0735E" w:rsidRDefault="000C695A" w:rsidP="000C695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sz w:val="26"/>
          <w:szCs w:val="26"/>
        </w:rPr>
        <w:t>Функции заказчика Программы осуществляет администрация сельского поселения. Заказчик осуществляет следующие функции:</w:t>
      </w:r>
    </w:p>
    <w:p w:rsidR="000C695A" w:rsidRPr="00C0735E" w:rsidRDefault="000C695A" w:rsidP="000C69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sz w:val="26"/>
          <w:szCs w:val="26"/>
        </w:rPr>
        <w:t>- координацию деятельности ответственных исполнителей, проектных, строительных, и научно-исследовательских организаций, участвующих в реализации мероприятий Программы;</w:t>
      </w:r>
    </w:p>
    <w:p w:rsidR="000C695A" w:rsidRPr="00C0735E" w:rsidRDefault="000C695A" w:rsidP="000C69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sz w:val="26"/>
          <w:szCs w:val="26"/>
        </w:rPr>
        <w:t>-</w:t>
      </w:r>
      <w:r w:rsidR="009D0593" w:rsidRPr="00C07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35E">
        <w:rPr>
          <w:rFonts w:ascii="Times New Roman" w:eastAsia="Times New Roman" w:hAnsi="Times New Roman" w:cs="Times New Roman"/>
          <w:sz w:val="26"/>
          <w:szCs w:val="26"/>
        </w:rPr>
        <w:t>организацию взаимодействия между исполнителями Программы и органами администрации Большедмитриевского сельского поселения;</w:t>
      </w:r>
    </w:p>
    <w:p w:rsidR="000C695A" w:rsidRPr="00C0735E" w:rsidRDefault="000C695A" w:rsidP="000C69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sz w:val="26"/>
          <w:szCs w:val="26"/>
        </w:rPr>
        <w:t>-</w:t>
      </w:r>
      <w:r w:rsidR="009D0593" w:rsidRPr="00C07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35E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C0735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0735E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Программы.</w:t>
      </w: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35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520129" w:rsidRPr="00C0735E">
        <w:rPr>
          <w:rFonts w:ascii="Times New Roman" w:hAnsi="Times New Roman" w:cs="Times New Roman"/>
          <w:sz w:val="26"/>
          <w:szCs w:val="26"/>
        </w:rPr>
        <w:t xml:space="preserve">Поставка и установка водонапорной башни </w:t>
      </w:r>
      <w:proofErr w:type="spellStart"/>
      <w:r w:rsidR="00520129" w:rsidRPr="00C0735E">
        <w:rPr>
          <w:rFonts w:ascii="Times New Roman" w:hAnsi="Times New Roman" w:cs="Times New Roman"/>
          <w:sz w:val="26"/>
          <w:szCs w:val="26"/>
        </w:rPr>
        <w:t>Рожновского</w:t>
      </w:r>
      <w:proofErr w:type="spellEnd"/>
      <w:r w:rsidR="00520129" w:rsidRPr="00C0735E">
        <w:rPr>
          <w:rFonts w:ascii="Times New Roman" w:hAnsi="Times New Roman" w:cs="Times New Roman"/>
          <w:sz w:val="26"/>
          <w:szCs w:val="26"/>
        </w:rPr>
        <w:t xml:space="preserve"> по ул. Центральная </w:t>
      </w:r>
      <w:proofErr w:type="gramStart"/>
      <w:r w:rsidR="00520129" w:rsidRPr="00C073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20129" w:rsidRPr="00C0735E">
        <w:rPr>
          <w:rFonts w:ascii="Times New Roman" w:hAnsi="Times New Roman" w:cs="Times New Roman"/>
          <w:sz w:val="26"/>
          <w:szCs w:val="26"/>
        </w:rPr>
        <w:t xml:space="preserve"> с. Двоенка Лысогорского </w:t>
      </w:r>
      <w:proofErr w:type="gramStart"/>
      <w:r w:rsidR="00520129" w:rsidRPr="00C0735E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="00520129" w:rsidRPr="00C0735E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Pr="00C0735E">
        <w:rPr>
          <w:rFonts w:ascii="Times New Roman" w:eastAsia="Times New Roman" w:hAnsi="Times New Roman" w:cs="Times New Roman"/>
          <w:b/>
          <w:bCs/>
          <w:sz w:val="26"/>
          <w:szCs w:val="26"/>
        </w:rPr>
        <w:t>».</w:t>
      </w:r>
    </w:p>
    <w:p w:rsidR="00372E1E" w:rsidRPr="00C0735E" w:rsidRDefault="00372E1E" w:rsidP="00372E1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735E">
        <w:rPr>
          <w:rFonts w:ascii="Times New Roman" w:eastAsia="Times New Roman" w:hAnsi="Times New Roman" w:cs="Times New Roman"/>
          <w:b/>
          <w:bCs/>
          <w:sz w:val="26"/>
          <w:szCs w:val="26"/>
        </w:rPr>
        <w:t>I. Основные положения о муниципальной программе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5777"/>
      </w:tblGrid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Большедмитриевского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D50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D50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D50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Тулипкалиев М.Н.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Большедмитриевского 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 Лысогорского муниципального района Саратовской области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129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Большедмитриевского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0593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отбираемые в </w:t>
            </w:r>
            <w:proofErr w:type="gram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установленном законодательством о размещении заказов на поставки товаров, выполнение работ, оказание услуг для муниципальных нужд;</w:t>
            </w:r>
          </w:p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0593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Большедмитриевского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(жители, </w:t>
            </w:r>
            <w:r w:rsidR="00520129" w:rsidRPr="00C0735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предприниматели)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20129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72E1E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обеспечивающих наиболее полное удовлетворение сбалансированной потребности населения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Большедмитриевского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чистой воде.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2E1E" w:rsidRPr="00C0735E" w:rsidTr="005A53FD">
        <w:trPr>
          <w:trHeight w:val="65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</w:t>
            </w:r>
            <w:r w:rsidR="009D0593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муниципальной программы (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20129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1 586 009,89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20129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158 600,99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20129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1 221 227,61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20129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206 181,29</w:t>
            </w:r>
          </w:p>
        </w:tc>
      </w:tr>
      <w:tr w:rsidR="00372E1E" w:rsidRPr="00C0735E" w:rsidTr="005A53FD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Целевые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73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индикаторы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муниципальной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программы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с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национальными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целями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государственными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программами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(при </w:t>
            </w:r>
            <w:r w:rsidRPr="00C07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наличии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201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и установка водонапорной башни </w:t>
            </w:r>
            <w:proofErr w:type="spellStart"/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129"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по ул. Центральная </w:t>
            </w:r>
            <w:proofErr w:type="gramStart"/>
            <w:r w:rsidR="00520129" w:rsidRPr="00C07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20129"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с. Двоенка Лысогорского </w:t>
            </w:r>
            <w:proofErr w:type="gramStart"/>
            <w:r w:rsidR="00520129" w:rsidRPr="00C073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520129"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9D0593" w:rsidRPr="00C0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7D62" w:rsidRPr="00C0735E" w:rsidRDefault="00707D62" w:rsidP="00707D62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07D62" w:rsidRPr="00C0735E" w:rsidSect="009D059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72E1E" w:rsidRPr="00C0735E" w:rsidRDefault="00372E1E" w:rsidP="00707D62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Показатели муниципальной программы</w:t>
      </w:r>
    </w:p>
    <w:tbl>
      <w:tblPr>
        <w:tblW w:w="15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421"/>
        <w:gridCol w:w="2284"/>
        <w:gridCol w:w="1482"/>
        <w:gridCol w:w="1076"/>
        <w:gridCol w:w="17"/>
        <w:gridCol w:w="676"/>
        <w:gridCol w:w="676"/>
        <w:gridCol w:w="676"/>
        <w:gridCol w:w="751"/>
        <w:gridCol w:w="1627"/>
        <w:gridCol w:w="373"/>
        <w:gridCol w:w="1889"/>
        <w:gridCol w:w="1890"/>
        <w:gridCol w:w="709"/>
        <w:gridCol w:w="779"/>
      </w:tblGrid>
      <w:tr w:rsidR="00372E1E" w:rsidRPr="00C0735E" w:rsidTr="00707D62">
        <w:trPr>
          <w:gridBefore w:val="1"/>
          <w:gridAfter w:val="1"/>
          <w:wBefore w:w="108" w:type="dxa"/>
          <w:wAfter w:w="779" w:type="dxa"/>
          <w:trHeight w:val="1"/>
        </w:trPr>
        <w:tc>
          <w:tcPr>
            <w:tcW w:w="9686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372E1E">
            <w:pPr>
              <w:spacing w:after="0" w:line="1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372E1E">
            <w:pPr>
              <w:spacing w:after="0" w:line="1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72E1E" w:rsidRPr="00C0735E" w:rsidTr="00707D62">
        <w:trPr>
          <w:trHeight w:val="254"/>
        </w:trPr>
        <w:tc>
          <w:tcPr>
            <w:tcW w:w="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N</w:t>
            </w:r>
            <w:r w:rsidRPr="00C0735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C0735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0735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0735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Наименование цели/показателя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Значение показателей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за достижение показателя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Документ,</w:t>
            </w:r>
          </w:p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в соответствии</w:t>
            </w:r>
          </w:p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 w:rsidRPr="00C0735E">
              <w:rPr>
                <w:rFonts w:ascii="Times New Roman" w:eastAsia="Times New Roman" w:hAnsi="Times New Roman" w:cs="Times New Roman"/>
              </w:rPr>
              <w:t>которым</w:t>
            </w:r>
            <w:proofErr w:type="gramEnd"/>
            <w:r w:rsidRPr="00C0735E">
              <w:rPr>
                <w:rFonts w:ascii="Times New Roman" w:eastAsia="Times New Roman" w:hAnsi="Times New Roman" w:cs="Times New Roman"/>
              </w:rPr>
              <w:t xml:space="preserve"> предусмотрено включение данного показателя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Связь</w:t>
            </w:r>
          </w:p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Информационная</w:t>
            </w:r>
          </w:p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система</w:t>
            </w:r>
          </w:p>
        </w:tc>
      </w:tr>
      <w:tr w:rsidR="00707D62" w:rsidRPr="00C0735E" w:rsidTr="00707D62">
        <w:trPr>
          <w:trHeight w:val="144"/>
        </w:trPr>
        <w:tc>
          <w:tcPr>
            <w:tcW w:w="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9D0593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базовое значение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372E1E" w:rsidRPr="00C0735E" w:rsidTr="00707D62">
        <w:trPr>
          <w:trHeight w:val="763"/>
        </w:trPr>
        <w:tc>
          <w:tcPr>
            <w:tcW w:w="154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  <w:b/>
                <w:bCs/>
              </w:rPr>
              <w:t>Цель муниципальной программы</w:t>
            </w:r>
            <w:r w:rsidRPr="00C0735E">
              <w:rPr>
                <w:rFonts w:ascii="Times New Roman" w:eastAsia="Times New Roman" w:hAnsi="Times New Roman" w:cs="Times New Roman"/>
              </w:rPr>
              <w:t> «</w:t>
            </w:r>
            <w:r w:rsidR="00707D62" w:rsidRPr="00C0735E">
              <w:rPr>
                <w:rFonts w:ascii="Times New Roman" w:eastAsia="Times New Roman" w:hAnsi="Times New Roman" w:cs="Times New Roman"/>
              </w:rPr>
              <w:t>Создание условий, обеспечивающих наиболее полное удовлетворение сбалансированной потребности населения Большедмитриевского сельского поселения в чистой воде</w:t>
            </w:r>
            <w:r w:rsidRPr="00C0735E">
              <w:rPr>
                <w:rFonts w:ascii="Times New Roman" w:eastAsia="Times New Roman" w:hAnsi="Times New Roman" w:cs="Times New Roman"/>
              </w:rPr>
              <w:t>».</w:t>
            </w:r>
          </w:p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7D62" w:rsidRPr="00C0735E" w:rsidTr="00707D62">
        <w:trPr>
          <w:trHeight w:val="2783"/>
        </w:trPr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 xml:space="preserve">Поставка и установка водонапорной башни </w:t>
            </w:r>
            <w:proofErr w:type="spellStart"/>
            <w:r w:rsidRPr="00C0735E">
              <w:rPr>
                <w:rFonts w:ascii="Times New Roman" w:eastAsia="Times New Roman" w:hAnsi="Times New Roman" w:cs="Times New Roman"/>
              </w:rPr>
              <w:t>Рожновского</w:t>
            </w:r>
            <w:proofErr w:type="spellEnd"/>
            <w:r w:rsidRPr="00C0735E">
              <w:rPr>
                <w:rFonts w:ascii="Times New Roman" w:eastAsia="Times New Roman" w:hAnsi="Times New Roman" w:cs="Times New Roman"/>
              </w:rPr>
              <w:t xml:space="preserve"> </w:t>
            </w:r>
            <w:r w:rsidRPr="00C0735E">
              <w:rPr>
                <w:rFonts w:ascii="Times New Roman" w:hAnsi="Times New Roman" w:cs="Times New Roman"/>
              </w:rPr>
              <w:t xml:space="preserve">по ул. Центральная </w:t>
            </w:r>
            <w:proofErr w:type="gramStart"/>
            <w:r w:rsidRPr="00C0735E">
              <w:rPr>
                <w:rFonts w:ascii="Times New Roman" w:hAnsi="Times New Roman" w:cs="Times New Roman"/>
              </w:rPr>
              <w:t>в</w:t>
            </w:r>
            <w:proofErr w:type="gramEnd"/>
            <w:r w:rsidRPr="00C0735E">
              <w:rPr>
                <w:rFonts w:ascii="Times New Roman" w:hAnsi="Times New Roman" w:cs="Times New Roman"/>
              </w:rPr>
              <w:t xml:space="preserve"> с. Двоенка Лысогорского </w:t>
            </w:r>
            <w:proofErr w:type="gramStart"/>
            <w:r w:rsidRPr="00C0735E">
              <w:rPr>
                <w:rFonts w:ascii="Times New Roman" w:hAnsi="Times New Roman" w:cs="Times New Roman"/>
              </w:rPr>
              <w:t>района</w:t>
            </w:r>
            <w:proofErr w:type="gramEnd"/>
            <w:r w:rsidRPr="00C0735E">
              <w:rPr>
                <w:rFonts w:ascii="Times New Roman" w:hAnsi="Times New Roman" w:cs="Times New Roman"/>
              </w:rPr>
              <w:t xml:space="preserve"> Саратовской области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735E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C0735E">
              <w:rPr>
                <w:rFonts w:ascii="Times New Roman" w:eastAsia="Times New Roman" w:hAnsi="Times New Roman" w:cs="Times New Roman"/>
              </w:rPr>
              <w:t>. Ед.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Администрация Большедмитриевского сельского поселения Лысогорского муниципального района Саратовской области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Федеральным законом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62" w:rsidRPr="00C0735E" w:rsidRDefault="00707D62" w:rsidP="00707D6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C0735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72E1E" w:rsidRPr="00C0735E" w:rsidRDefault="00372E1E" w:rsidP="0037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2E1E" w:rsidRPr="00C0735E" w:rsidRDefault="00372E1E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70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07D62" w:rsidRPr="00C0735E" w:rsidSect="00707D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Структура муниципальной программы</w:t>
      </w:r>
    </w:p>
    <w:p w:rsidR="00372E1E" w:rsidRPr="00C0735E" w:rsidRDefault="00372E1E" w:rsidP="00372E1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851"/>
        <w:gridCol w:w="2693"/>
        <w:gridCol w:w="2693"/>
        <w:gridCol w:w="3369"/>
      </w:tblGrid>
      <w:tr w:rsidR="00372E1E" w:rsidRPr="00C0735E" w:rsidTr="005C6D5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</w:tbl>
    <w:p w:rsidR="00372E1E" w:rsidRPr="00C0735E" w:rsidRDefault="00372E1E" w:rsidP="00707D6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851"/>
        <w:gridCol w:w="2693"/>
        <w:gridCol w:w="2693"/>
        <w:gridCol w:w="3369"/>
      </w:tblGrid>
      <w:tr w:rsidR="00372E1E" w:rsidRPr="00C0735E" w:rsidTr="005C6D50">
        <w:trPr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E1E" w:rsidRPr="00C0735E" w:rsidTr="005C6D5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6D50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C6D50" w:rsidP="00707D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  «</w:t>
            </w: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и установка водонапорной башни </w:t>
            </w:r>
            <w:proofErr w:type="spellStart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по ул. Центральная </w:t>
            </w:r>
            <w:proofErr w:type="gramStart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с. Двоенка Лысогорского </w:t>
            </w:r>
            <w:proofErr w:type="gramStart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72E1E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(Глава Большедмитриевского муниципального образования - Тулипкалиев М.Н.</w:t>
            </w:r>
            <w:r w:rsidR="00372E1E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E1E" w:rsidRPr="00C0735E" w:rsidTr="005C6D5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 (Администрация </w:t>
            </w:r>
            <w:r w:rsidR="00520129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Большедмитриевского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Лысогорского муниципального района Саратовской области)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72E1E" w:rsidRPr="00C0735E" w:rsidTr="005C6D5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07D62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и установка водонапорной башни</w:t>
            </w:r>
            <w:r w:rsidR="000C695A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5A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="000C695A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95A"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по ул. Центральная </w:t>
            </w:r>
            <w:proofErr w:type="gramStart"/>
            <w:r w:rsidR="000C695A" w:rsidRPr="00C07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C695A"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с. Двоенка Лысогорского </w:t>
            </w:r>
            <w:proofErr w:type="gramStart"/>
            <w:r w:rsidR="000C695A" w:rsidRPr="00C073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0C695A"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E1E" w:rsidRPr="00C0735E" w:rsidRDefault="00372E1E" w:rsidP="00707D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питьевой воды,</w:t>
            </w:r>
          </w:p>
          <w:p w:rsidR="00372E1E" w:rsidRPr="00C0735E" w:rsidRDefault="005C6D50" w:rsidP="00707D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эффективности, устойчивости и надежности функционирования систем водоснабжения.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5C6D50" w:rsidP="00707D6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10 марта 2025 г. - </w:t>
            </w:r>
            <w:r w:rsidRPr="00C07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 г.</w:t>
            </w:r>
          </w:p>
        </w:tc>
      </w:tr>
    </w:tbl>
    <w:p w:rsidR="00372E1E" w:rsidRPr="00C0735E" w:rsidRDefault="00372E1E" w:rsidP="0037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2E1E" w:rsidRPr="00C0735E" w:rsidRDefault="00372E1E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D62" w:rsidRPr="00C0735E" w:rsidRDefault="00707D62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1E" w:rsidRPr="00C0735E" w:rsidRDefault="00372E1E" w:rsidP="00372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D62" w:rsidRPr="00C0735E" w:rsidRDefault="00707D62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07D62" w:rsidRPr="00C0735E" w:rsidSect="00707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Финансовое обеспечение муниципальной программы</w:t>
      </w:r>
    </w:p>
    <w:p w:rsidR="00372E1E" w:rsidRPr="00C0735E" w:rsidRDefault="00372E1E" w:rsidP="00372E1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2E1E" w:rsidRPr="00C0735E" w:rsidRDefault="00372E1E" w:rsidP="00372E1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3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2759" w:type="dxa"/>
        <w:jc w:val="center"/>
        <w:tblCellMar>
          <w:left w:w="0" w:type="dxa"/>
          <w:right w:w="0" w:type="dxa"/>
        </w:tblCellMar>
        <w:tblLook w:val="04A0"/>
      </w:tblPr>
      <w:tblGrid>
        <w:gridCol w:w="5101"/>
        <w:gridCol w:w="1914"/>
        <w:gridCol w:w="1914"/>
        <w:gridCol w:w="1915"/>
        <w:gridCol w:w="1915"/>
      </w:tblGrid>
      <w:tr w:rsidR="00372E1E" w:rsidRPr="00C0735E" w:rsidTr="00372E1E">
        <w:trPr>
          <w:jc w:val="center"/>
        </w:trPr>
        <w:tc>
          <w:tcPr>
            <w:tcW w:w="5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</w:t>
            </w:r>
            <w:r w:rsidR="005A53FD"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72E1E" w:rsidRPr="00C0735E" w:rsidTr="00372E1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372E1E" w:rsidRPr="00C0735E" w:rsidRDefault="00372E1E" w:rsidP="005C6D50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758" w:type="dxa"/>
        <w:jc w:val="center"/>
        <w:tblCellMar>
          <w:left w:w="0" w:type="dxa"/>
          <w:right w:w="0" w:type="dxa"/>
        </w:tblCellMar>
        <w:tblLook w:val="04A0"/>
      </w:tblPr>
      <w:tblGrid>
        <w:gridCol w:w="5101"/>
        <w:gridCol w:w="1914"/>
        <w:gridCol w:w="1914"/>
        <w:gridCol w:w="1915"/>
        <w:gridCol w:w="1914"/>
      </w:tblGrid>
      <w:tr w:rsidR="00372E1E" w:rsidRPr="00C0735E" w:rsidTr="00372E1E">
        <w:trPr>
          <w:tblHeader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1E" w:rsidRPr="00C0735E" w:rsidRDefault="00372E1E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D50" w:rsidRPr="00C0735E" w:rsidTr="00372E1E">
        <w:trPr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и установка водонапорной башни </w:t>
            </w:r>
            <w:proofErr w:type="spellStart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по ул. Центральная </w:t>
            </w:r>
            <w:proofErr w:type="gramStart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с. Двоенка Лысогорского </w:t>
            </w:r>
            <w:proofErr w:type="gramStart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C0735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», (всего), в том числе: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1586009,89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1586009,89</w:t>
            </w:r>
          </w:p>
        </w:tc>
      </w:tr>
      <w:tr w:rsidR="005C6D50" w:rsidRPr="00C0735E" w:rsidTr="00372E1E">
        <w:trPr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158600,99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158600,99</w:t>
            </w:r>
          </w:p>
        </w:tc>
      </w:tr>
      <w:tr w:rsidR="005C6D50" w:rsidRPr="00C0735E" w:rsidTr="00372E1E">
        <w:trPr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D50" w:rsidRPr="00C0735E" w:rsidTr="00372E1E">
        <w:trPr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1221227,61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1221227,61</w:t>
            </w:r>
          </w:p>
        </w:tc>
      </w:tr>
      <w:tr w:rsidR="005C6D50" w:rsidRPr="00C0735E" w:rsidTr="00372E1E">
        <w:trPr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206181,29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50" w:rsidRPr="00C0735E" w:rsidRDefault="005C6D50" w:rsidP="005C6D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5E">
              <w:rPr>
                <w:rFonts w:ascii="Times New Roman" w:hAnsi="Times New Roman" w:cs="Times New Roman"/>
                <w:sz w:val="24"/>
                <w:szCs w:val="24"/>
              </w:rPr>
              <w:t>206181,29</w:t>
            </w:r>
          </w:p>
        </w:tc>
      </w:tr>
    </w:tbl>
    <w:p w:rsidR="00372E1E" w:rsidRPr="00C0735E" w:rsidRDefault="00372E1E" w:rsidP="009D0593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2E1E" w:rsidRPr="00C0735E" w:rsidSect="00707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6D06CC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E1B365D"/>
    <w:multiLevelType w:val="multilevel"/>
    <w:tmpl w:val="740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DC3E9C"/>
    <w:multiLevelType w:val="multilevel"/>
    <w:tmpl w:val="6E52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E0415B"/>
    <w:multiLevelType w:val="hybridMultilevel"/>
    <w:tmpl w:val="97260F6C"/>
    <w:lvl w:ilvl="0" w:tplc="A8403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E63777"/>
    <w:multiLevelType w:val="hybridMultilevel"/>
    <w:tmpl w:val="52E21286"/>
    <w:lvl w:ilvl="0" w:tplc="C16C05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841CB"/>
    <w:multiLevelType w:val="multilevel"/>
    <w:tmpl w:val="9A56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452B4"/>
    <w:multiLevelType w:val="multilevel"/>
    <w:tmpl w:val="1E8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4DF4"/>
    <w:rsid w:val="00003B82"/>
    <w:rsid w:val="000052C6"/>
    <w:rsid w:val="000118BD"/>
    <w:rsid w:val="000367B4"/>
    <w:rsid w:val="00081B15"/>
    <w:rsid w:val="00083D6B"/>
    <w:rsid w:val="00091157"/>
    <w:rsid w:val="00092F26"/>
    <w:rsid w:val="00094E96"/>
    <w:rsid w:val="000A138F"/>
    <w:rsid w:val="000C287B"/>
    <w:rsid w:val="000C695A"/>
    <w:rsid w:val="000D61E9"/>
    <w:rsid w:val="000D6AD9"/>
    <w:rsid w:val="000E6288"/>
    <w:rsid w:val="00114A48"/>
    <w:rsid w:val="0014592C"/>
    <w:rsid w:val="00150452"/>
    <w:rsid w:val="00151B70"/>
    <w:rsid w:val="001730CF"/>
    <w:rsid w:val="001743BD"/>
    <w:rsid w:val="00180F46"/>
    <w:rsid w:val="001815B5"/>
    <w:rsid w:val="00184613"/>
    <w:rsid w:val="001B6822"/>
    <w:rsid w:val="001D21C6"/>
    <w:rsid w:val="001E49F4"/>
    <w:rsid w:val="001E6AF4"/>
    <w:rsid w:val="001F31D6"/>
    <w:rsid w:val="001F4846"/>
    <w:rsid w:val="002303A6"/>
    <w:rsid w:val="00244282"/>
    <w:rsid w:val="00247112"/>
    <w:rsid w:val="00263131"/>
    <w:rsid w:val="002717DB"/>
    <w:rsid w:val="002B1F10"/>
    <w:rsid w:val="002C2E2D"/>
    <w:rsid w:val="002C532E"/>
    <w:rsid w:val="002D0B3E"/>
    <w:rsid w:val="00301E1C"/>
    <w:rsid w:val="00304B0E"/>
    <w:rsid w:val="00315752"/>
    <w:rsid w:val="003163F8"/>
    <w:rsid w:val="00326DEE"/>
    <w:rsid w:val="00337204"/>
    <w:rsid w:val="003516D3"/>
    <w:rsid w:val="003613EF"/>
    <w:rsid w:val="00372E1E"/>
    <w:rsid w:val="0037345E"/>
    <w:rsid w:val="00375383"/>
    <w:rsid w:val="003A6CC9"/>
    <w:rsid w:val="003A6D49"/>
    <w:rsid w:val="003C6735"/>
    <w:rsid w:val="003D3DD4"/>
    <w:rsid w:val="003E4871"/>
    <w:rsid w:val="003F261F"/>
    <w:rsid w:val="003F453B"/>
    <w:rsid w:val="003F6FAE"/>
    <w:rsid w:val="00411D5C"/>
    <w:rsid w:val="00426913"/>
    <w:rsid w:val="00435462"/>
    <w:rsid w:val="00440B01"/>
    <w:rsid w:val="0044536F"/>
    <w:rsid w:val="004564BB"/>
    <w:rsid w:val="004577B7"/>
    <w:rsid w:val="004622AC"/>
    <w:rsid w:val="00471D9C"/>
    <w:rsid w:val="00480CFA"/>
    <w:rsid w:val="004851A3"/>
    <w:rsid w:val="004A07D5"/>
    <w:rsid w:val="004A0AF1"/>
    <w:rsid w:val="004B2FED"/>
    <w:rsid w:val="004B67E1"/>
    <w:rsid w:val="004C12C6"/>
    <w:rsid w:val="004C2F0E"/>
    <w:rsid w:val="004C35D0"/>
    <w:rsid w:val="004E2981"/>
    <w:rsid w:val="004F1205"/>
    <w:rsid w:val="005121F9"/>
    <w:rsid w:val="00515E4F"/>
    <w:rsid w:val="005163EB"/>
    <w:rsid w:val="0051750B"/>
    <w:rsid w:val="00520129"/>
    <w:rsid w:val="0052112A"/>
    <w:rsid w:val="00534D3F"/>
    <w:rsid w:val="00541C4D"/>
    <w:rsid w:val="00553AC4"/>
    <w:rsid w:val="00560EDD"/>
    <w:rsid w:val="00570E33"/>
    <w:rsid w:val="00572FB7"/>
    <w:rsid w:val="0059367F"/>
    <w:rsid w:val="005A21BD"/>
    <w:rsid w:val="005A53FD"/>
    <w:rsid w:val="005A789D"/>
    <w:rsid w:val="005C6D50"/>
    <w:rsid w:val="005C7DA0"/>
    <w:rsid w:val="005E2B46"/>
    <w:rsid w:val="00600C87"/>
    <w:rsid w:val="00605CFA"/>
    <w:rsid w:val="0060659E"/>
    <w:rsid w:val="00635F38"/>
    <w:rsid w:val="006375D5"/>
    <w:rsid w:val="00646941"/>
    <w:rsid w:val="00662B65"/>
    <w:rsid w:val="006816FF"/>
    <w:rsid w:val="00682725"/>
    <w:rsid w:val="00694E39"/>
    <w:rsid w:val="0069563A"/>
    <w:rsid w:val="006B3392"/>
    <w:rsid w:val="006B3BE1"/>
    <w:rsid w:val="006C0116"/>
    <w:rsid w:val="006C2034"/>
    <w:rsid w:val="006C2B8E"/>
    <w:rsid w:val="006E11A5"/>
    <w:rsid w:val="006E2028"/>
    <w:rsid w:val="006F10D2"/>
    <w:rsid w:val="007046D2"/>
    <w:rsid w:val="00707D62"/>
    <w:rsid w:val="00710F03"/>
    <w:rsid w:val="00712F11"/>
    <w:rsid w:val="00737596"/>
    <w:rsid w:val="00737EC6"/>
    <w:rsid w:val="00742B85"/>
    <w:rsid w:val="007453A2"/>
    <w:rsid w:val="00757AE4"/>
    <w:rsid w:val="00772273"/>
    <w:rsid w:val="00773E6F"/>
    <w:rsid w:val="00786454"/>
    <w:rsid w:val="0078660E"/>
    <w:rsid w:val="007A49EF"/>
    <w:rsid w:val="007B0941"/>
    <w:rsid w:val="007B5E19"/>
    <w:rsid w:val="007C2ECE"/>
    <w:rsid w:val="007D3AB6"/>
    <w:rsid w:val="007D4C79"/>
    <w:rsid w:val="007F4779"/>
    <w:rsid w:val="007F794A"/>
    <w:rsid w:val="00812A25"/>
    <w:rsid w:val="00814C6C"/>
    <w:rsid w:val="00817584"/>
    <w:rsid w:val="00821306"/>
    <w:rsid w:val="008341DD"/>
    <w:rsid w:val="0085716B"/>
    <w:rsid w:val="00870EC1"/>
    <w:rsid w:val="008833E4"/>
    <w:rsid w:val="008A63BC"/>
    <w:rsid w:val="008C1EF6"/>
    <w:rsid w:val="008D79B5"/>
    <w:rsid w:val="008E30E6"/>
    <w:rsid w:val="00915DA4"/>
    <w:rsid w:val="009246E4"/>
    <w:rsid w:val="0094324C"/>
    <w:rsid w:val="00947E54"/>
    <w:rsid w:val="00956F67"/>
    <w:rsid w:val="00957985"/>
    <w:rsid w:val="009625F2"/>
    <w:rsid w:val="00967EBA"/>
    <w:rsid w:val="00971C0B"/>
    <w:rsid w:val="009756BC"/>
    <w:rsid w:val="00983168"/>
    <w:rsid w:val="009942DC"/>
    <w:rsid w:val="009C6C70"/>
    <w:rsid w:val="009D0593"/>
    <w:rsid w:val="009D2A9E"/>
    <w:rsid w:val="009D3041"/>
    <w:rsid w:val="009F66A8"/>
    <w:rsid w:val="009F6EA2"/>
    <w:rsid w:val="00A07CAD"/>
    <w:rsid w:val="00A11959"/>
    <w:rsid w:val="00A12B45"/>
    <w:rsid w:val="00A177AE"/>
    <w:rsid w:val="00A24422"/>
    <w:rsid w:val="00A24EDC"/>
    <w:rsid w:val="00A47CCE"/>
    <w:rsid w:val="00A55D3F"/>
    <w:rsid w:val="00A627DA"/>
    <w:rsid w:val="00A63988"/>
    <w:rsid w:val="00A82DD6"/>
    <w:rsid w:val="00A95C2E"/>
    <w:rsid w:val="00A9734D"/>
    <w:rsid w:val="00AA0493"/>
    <w:rsid w:val="00AF5D32"/>
    <w:rsid w:val="00B0006B"/>
    <w:rsid w:val="00B11E5A"/>
    <w:rsid w:val="00B129BE"/>
    <w:rsid w:val="00B21752"/>
    <w:rsid w:val="00B42237"/>
    <w:rsid w:val="00B50EA8"/>
    <w:rsid w:val="00B72A61"/>
    <w:rsid w:val="00B733FC"/>
    <w:rsid w:val="00B8229B"/>
    <w:rsid w:val="00B97FA7"/>
    <w:rsid w:val="00BA61EE"/>
    <w:rsid w:val="00BD444C"/>
    <w:rsid w:val="00BF066F"/>
    <w:rsid w:val="00C0045E"/>
    <w:rsid w:val="00C0735E"/>
    <w:rsid w:val="00C167C7"/>
    <w:rsid w:val="00C40BDA"/>
    <w:rsid w:val="00C41CF7"/>
    <w:rsid w:val="00C460E7"/>
    <w:rsid w:val="00C5426C"/>
    <w:rsid w:val="00C576C9"/>
    <w:rsid w:val="00C57DB7"/>
    <w:rsid w:val="00C74364"/>
    <w:rsid w:val="00C75947"/>
    <w:rsid w:val="00C82B22"/>
    <w:rsid w:val="00C840A7"/>
    <w:rsid w:val="00CA6AA5"/>
    <w:rsid w:val="00CD0491"/>
    <w:rsid w:val="00CD25A1"/>
    <w:rsid w:val="00CD6439"/>
    <w:rsid w:val="00CF36E0"/>
    <w:rsid w:val="00CF372B"/>
    <w:rsid w:val="00CF6FE5"/>
    <w:rsid w:val="00D51828"/>
    <w:rsid w:val="00D57528"/>
    <w:rsid w:val="00DA5CB8"/>
    <w:rsid w:val="00DE4DF4"/>
    <w:rsid w:val="00DF0C91"/>
    <w:rsid w:val="00DF3A11"/>
    <w:rsid w:val="00DF781F"/>
    <w:rsid w:val="00E26855"/>
    <w:rsid w:val="00E43A67"/>
    <w:rsid w:val="00E46B4F"/>
    <w:rsid w:val="00E662D4"/>
    <w:rsid w:val="00E72E47"/>
    <w:rsid w:val="00E92B0C"/>
    <w:rsid w:val="00EB426D"/>
    <w:rsid w:val="00EC23F5"/>
    <w:rsid w:val="00ED379C"/>
    <w:rsid w:val="00EE4025"/>
    <w:rsid w:val="00EF49DD"/>
    <w:rsid w:val="00EF5F0E"/>
    <w:rsid w:val="00F0064C"/>
    <w:rsid w:val="00F039E3"/>
    <w:rsid w:val="00F06018"/>
    <w:rsid w:val="00F116B0"/>
    <w:rsid w:val="00F21FE9"/>
    <w:rsid w:val="00F455E2"/>
    <w:rsid w:val="00F6719B"/>
    <w:rsid w:val="00F81AD9"/>
    <w:rsid w:val="00F8710F"/>
    <w:rsid w:val="00F87E05"/>
    <w:rsid w:val="00FA4E40"/>
    <w:rsid w:val="00FB3BC4"/>
    <w:rsid w:val="00FC1853"/>
    <w:rsid w:val="00FC6906"/>
    <w:rsid w:val="00FC7C4E"/>
    <w:rsid w:val="00FD4A19"/>
    <w:rsid w:val="00FD5BAD"/>
    <w:rsid w:val="00FD6C6D"/>
    <w:rsid w:val="00FE4223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288"/>
    <w:rPr>
      <w:rFonts w:ascii="Tahoma" w:hAnsi="Tahoma" w:cs="Tahoma"/>
      <w:sz w:val="16"/>
      <w:szCs w:val="16"/>
    </w:rPr>
  </w:style>
  <w:style w:type="character" w:styleId="a9">
    <w:name w:val="Hyperlink"/>
    <w:semiHidden/>
    <w:unhideWhenUsed/>
    <w:rsid w:val="00AA0493"/>
    <w:rPr>
      <w:rFonts w:ascii="Times New Roman" w:hAnsi="Times New Roman" w:cs="Times New Roman" w:hint="default"/>
      <w:color w:val="0000FF"/>
      <w:u w:val="single"/>
    </w:rPr>
  </w:style>
  <w:style w:type="paragraph" w:customStyle="1" w:styleId="FR4">
    <w:name w:val="FR4"/>
    <w:rsid w:val="00C5426C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a">
    <w:name w:val="List Paragraph"/>
    <w:basedOn w:val="a"/>
    <w:uiPriority w:val="34"/>
    <w:qFormat/>
    <w:rsid w:val="006C2B8E"/>
    <w:pPr>
      <w:ind w:left="720"/>
      <w:contextualSpacing/>
    </w:pPr>
    <w:rPr>
      <w:rFonts w:eastAsiaTheme="minorHAnsi"/>
      <w:lang w:eastAsia="en-US"/>
    </w:rPr>
  </w:style>
  <w:style w:type="character" w:customStyle="1" w:styleId="hyperlink">
    <w:name w:val="hyperlink"/>
    <w:basedOn w:val="a0"/>
    <w:rsid w:val="00372E1E"/>
  </w:style>
  <w:style w:type="character" w:styleId="ab">
    <w:name w:val="Emphasis"/>
    <w:basedOn w:val="a0"/>
    <w:uiPriority w:val="20"/>
    <w:qFormat/>
    <w:rsid w:val="00372E1E"/>
    <w:rPr>
      <w:i/>
      <w:iCs/>
    </w:rPr>
  </w:style>
  <w:style w:type="paragraph" w:customStyle="1" w:styleId="11">
    <w:name w:val="Нижний колонтитул1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style39"/>
    <w:basedOn w:val="a0"/>
    <w:rsid w:val="00372E1E"/>
  </w:style>
  <w:style w:type="character" w:customStyle="1" w:styleId="fontstyle34">
    <w:name w:val="fontstyle34"/>
    <w:basedOn w:val="a0"/>
    <w:rsid w:val="00372E1E"/>
  </w:style>
  <w:style w:type="paragraph" w:customStyle="1" w:styleId="style14">
    <w:name w:val="style14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3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70C0-953E-4B7D-BAFC-94947035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Мулдаш Тулипкалиев</cp:lastModifiedBy>
  <cp:revision>142</cp:revision>
  <cp:lastPrinted>2019-11-19T10:50:00Z</cp:lastPrinted>
  <dcterms:created xsi:type="dcterms:W3CDTF">2014-07-30T07:44:00Z</dcterms:created>
  <dcterms:modified xsi:type="dcterms:W3CDTF">2025-03-24T06:46:00Z</dcterms:modified>
</cp:coreProperties>
</file>